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2F32B63D" w:rsidR="00C176C5" w:rsidRPr="0032522F" w:rsidRDefault="0032522F" w:rsidP="008D381C">
      <w:pPr>
        <w:keepNext/>
        <w:spacing w:after="60"/>
        <w:jc w:val="both"/>
        <w:outlineLvl w:val="2"/>
        <w:rPr>
          <w:rFonts w:asciiTheme="minorHAnsi" w:hAnsiTheme="minorHAnsi" w:cstheme="minorHAnsi"/>
          <w:b/>
          <w:sz w:val="20"/>
        </w:rPr>
      </w:pPr>
      <w:r w:rsidRPr="0032522F">
        <w:rPr>
          <w:rFonts w:asciiTheme="minorHAnsi" w:hAnsiTheme="minorHAnsi" w:cstheme="minorHAnsi"/>
          <w:b/>
          <w:sz w:val="20"/>
        </w:rPr>
        <w:t>Příloha 19</w:t>
      </w:r>
    </w:p>
    <w:p w14:paraId="4785FFE7" w14:textId="77777777" w:rsidR="0032522F" w:rsidRPr="008D381C" w:rsidRDefault="0032522F" w:rsidP="008D381C">
      <w:pPr>
        <w:keepNext/>
        <w:spacing w:after="60"/>
        <w:jc w:val="both"/>
        <w:outlineLvl w:val="2"/>
        <w:rPr>
          <w:rFonts w:asciiTheme="minorHAnsi" w:hAnsiTheme="minorHAnsi" w:cstheme="minorHAnsi"/>
          <w:sz w:val="20"/>
        </w:rPr>
      </w:pPr>
    </w:p>
    <w:p w14:paraId="0048D452" w14:textId="69B78ECB"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F85989">
        <w:rPr>
          <w:rFonts w:asciiTheme="minorHAnsi" w:hAnsiTheme="minorHAnsi" w:cstheme="minorHAnsi"/>
          <w:b/>
          <w:sz w:val="20"/>
        </w:rPr>
        <w:t>22/6</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797" w:type="dxa"/>
        <w:tblCellMar>
          <w:left w:w="70" w:type="dxa"/>
          <w:right w:w="70" w:type="dxa"/>
        </w:tblCellMar>
        <w:tblLook w:val="04A0" w:firstRow="1" w:lastRow="0" w:firstColumn="1" w:lastColumn="0" w:noHBand="0" w:noVBand="1"/>
      </w:tblPr>
      <w:tblGrid>
        <w:gridCol w:w="960"/>
        <w:gridCol w:w="1870"/>
        <w:gridCol w:w="1560"/>
        <w:gridCol w:w="867"/>
        <w:gridCol w:w="1542"/>
        <w:gridCol w:w="1998"/>
      </w:tblGrid>
      <w:tr w:rsidR="00F85989" w:rsidRPr="00F85989" w14:paraId="15991B18" w14:textId="77777777" w:rsidTr="00F85989">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46DE0F3C"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Číslo parcely</w:t>
            </w:r>
          </w:p>
        </w:tc>
        <w:tc>
          <w:tcPr>
            <w:tcW w:w="1870" w:type="dxa"/>
            <w:tcBorders>
              <w:top w:val="single" w:sz="4" w:space="0" w:color="auto"/>
              <w:left w:val="nil"/>
              <w:bottom w:val="single" w:sz="4" w:space="0" w:color="auto"/>
              <w:right w:val="single" w:sz="4" w:space="0" w:color="auto"/>
            </w:tcBorders>
            <w:shd w:val="clear" w:color="000000" w:fill="70AD47"/>
            <w:noWrap/>
            <w:vAlign w:val="bottom"/>
            <w:hideMark/>
          </w:tcPr>
          <w:p w14:paraId="4FFB39B4"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Latinské jméno</w:t>
            </w:r>
          </w:p>
        </w:tc>
        <w:tc>
          <w:tcPr>
            <w:tcW w:w="1560" w:type="dxa"/>
            <w:tcBorders>
              <w:top w:val="single" w:sz="4" w:space="0" w:color="auto"/>
              <w:left w:val="nil"/>
              <w:bottom w:val="single" w:sz="4" w:space="0" w:color="auto"/>
              <w:right w:val="single" w:sz="4" w:space="0" w:color="auto"/>
            </w:tcBorders>
            <w:shd w:val="clear" w:color="000000" w:fill="70AD47"/>
            <w:noWrap/>
            <w:vAlign w:val="bottom"/>
            <w:hideMark/>
          </w:tcPr>
          <w:p w14:paraId="73E17E1D"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České jméno</w:t>
            </w:r>
          </w:p>
        </w:tc>
        <w:tc>
          <w:tcPr>
            <w:tcW w:w="867" w:type="dxa"/>
            <w:tcBorders>
              <w:top w:val="single" w:sz="4" w:space="0" w:color="auto"/>
              <w:left w:val="nil"/>
              <w:bottom w:val="single" w:sz="4" w:space="0" w:color="auto"/>
              <w:right w:val="single" w:sz="4" w:space="0" w:color="auto"/>
            </w:tcBorders>
            <w:shd w:val="clear" w:color="000000" w:fill="70AD47"/>
            <w:noWrap/>
            <w:vAlign w:val="bottom"/>
            <w:hideMark/>
          </w:tcPr>
          <w:p w14:paraId="2CB00291"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Skupina</w:t>
            </w:r>
          </w:p>
        </w:tc>
        <w:tc>
          <w:tcPr>
            <w:tcW w:w="1542" w:type="dxa"/>
            <w:tcBorders>
              <w:top w:val="single" w:sz="4" w:space="0" w:color="auto"/>
              <w:left w:val="nil"/>
              <w:bottom w:val="single" w:sz="4" w:space="0" w:color="auto"/>
              <w:right w:val="single" w:sz="4" w:space="0" w:color="auto"/>
            </w:tcBorders>
            <w:shd w:val="clear" w:color="000000" w:fill="70AD47"/>
            <w:noWrap/>
            <w:vAlign w:val="bottom"/>
            <w:hideMark/>
          </w:tcPr>
          <w:p w14:paraId="775F3B08"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Poslední nález</w:t>
            </w:r>
          </w:p>
        </w:tc>
        <w:tc>
          <w:tcPr>
            <w:tcW w:w="1998" w:type="dxa"/>
            <w:tcBorders>
              <w:top w:val="single" w:sz="4" w:space="0" w:color="auto"/>
              <w:left w:val="nil"/>
              <w:bottom w:val="single" w:sz="4" w:space="0" w:color="auto"/>
              <w:right w:val="single" w:sz="4" w:space="0" w:color="auto"/>
            </w:tcBorders>
            <w:shd w:val="clear" w:color="000000" w:fill="70AD47"/>
            <w:noWrap/>
            <w:vAlign w:val="bottom"/>
            <w:hideMark/>
          </w:tcPr>
          <w:p w14:paraId="1B689141"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Status dle vyhlášky</w:t>
            </w:r>
          </w:p>
        </w:tc>
      </w:tr>
      <w:tr w:rsidR="00F85989" w:rsidRPr="00F85989" w14:paraId="47EB02A4" w14:textId="77777777" w:rsidTr="00F8598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B12F34"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22/6</w:t>
            </w:r>
          </w:p>
        </w:tc>
        <w:tc>
          <w:tcPr>
            <w:tcW w:w="1870" w:type="dxa"/>
            <w:tcBorders>
              <w:top w:val="nil"/>
              <w:left w:val="nil"/>
              <w:bottom w:val="single" w:sz="4" w:space="0" w:color="auto"/>
              <w:right w:val="single" w:sz="4" w:space="0" w:color="auto"/>
            </w:tcBorders>
            <w:shd w:val="clear" w:color="auto" w:fill="auto"/>
            <w:noWrap/>
            <w:vAlign w:val="bottom"/>
            <w:hideMark/>
          </w:tcPr>
          <w:p w14:paraId="016C9C4F"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Corvus corax</w:t>
            </w:r>
          </w:p>
        </w:tc>
        <w:tc>
          <w:tcPr>
            <w:tcW w:w="1560" w:type="dxa"/>
            <w:tcBorders>
              <w:top w:val="nil"/>
              <w:left w:val="nil"/>
              <w:bottom w:val="single" w:sz="4" w:space="0" w:color="auto"/>
              <w:right w:val="single" w:sz="4" w:space="0" w:color="auto"/>
            </w:tcBorders>
            <w:shd w:val="clear" w:color="auto" w:fill="auto"/>
            <w:noWrap/>
            <w:vAlign w:val="bottom"/>
            <w:hideMark/>
          </w:tcPr>
          <w:p w14:paraId="3EB541F0"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krkavec velký</w:t>
            </w:r>
          </w:p>
        </w:tc>
        <w:tc>
          <w:tcPr>
            <w:tcW w:w="867" w:type="dxa"/>
            <w:tcBorders>
              <w:top w:val="nil"/>
              <w:left w:val="nil"/>
              <w:bottom w:val="single" w:sz="4" w:space="0" w:color="auto"/>
              <w:right w:val="single" w:sz="4" w:space="0" w:color="auto"/>
            </w:tcBorders>
            <w:shd w:val="clear" w:color="auto" w:fill="auto"/>
            <w:noWrap/>
            <w:vAlign w:val="bottom"/>
            <w:hideMark/>
          </w:tcPr>
          <w:p w14:paraId="4AAF79B7"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Ptáci</w:t>
            </w:r>
          </w:p>
        </w:tc>
        <w:tc>
          <w:tcPr>
            <w:tcW w:w="1542" w:type="dxa"/>
            <w:tcBorders>
              <w:top w:val="nil"/>
              <w:left w:val="nil"/>
              <w:bottom w:val="single" w:sz="4" w:space="0" w:color="auto"/>
              <w:right w:val="single" w:sz="4" w:space="0" w:color="auto"/>
            </w:tcBorders>
            <w:shd w:val="clear" w:color="auto" w:fill="auto"/>
            <w:noWrap/>
            <w:vAlign w:val="bottom"/>
            <w:hideMark/>
          </w:tcPr>
          <w:p w14:paraId="48DD4B81"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2018-03</w:t>
            </w:r>
          </w:p>
        </w:tc>
        <w:tc>
          <w:tcPr>
            <w:tcW w:w="1998" w:type="dxa"/>
            <w:tcBorders>
              <w:top w:val="nil"/>
              <w:left w:val="nil"/>
              <w:bottom w:val="single" w:sz="4" w:space="0" w:color="auto"/>
              <w:right w:val="single" w:sz="4" w:space="0" w:color="auto"/>
            </w:tcBorders>
            <w:shd w:val="clear" w:color="auto" w:fill="auto"/>
            <w:noWrap/>
            <w:vAlign w:val="bottom"/>
            <w:hideMark/>
          </w:tcPr>
          <w:p w14:paraId="6CA66E86"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Ohrožený</w:t>
            </w:r>
          </w:p>
        </w:tc>
      </w:tr>
      <w:tr w:rsidR="00F85989" w:rsidRPr="00F85989" w14:paraId="177EFCA7" w14:textId="77777777" w:rsidTr="00F8598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D12014"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22/6</w:t>
            </w:r>
          </w:p>
        </w:tc>
        <w:tc>
          <w:tcPr>
            <w:tcW w:w="1870" w:type="dxa"/>
            <w:tcBorders>
              <w:top w:val="nil"/>
              <w:left w:val="nil"/>
              <w:bottom w:val="single" w:sz="4" w:space="0" w:color="auto"/>
              <w:right w:val="single" w:sz="4" w:space="0" w:color="auto"/>
            </w:tcBorders>
            <w:shd w:val="clear" w:color="auto" w:fill="auto"/>
            <w:noWrap/>
            <w:vAlign w:val="bottom"/>
            <w:hideMark/>
          </w:tcPr>
          <w:p w14:paraId="7AC85237"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Lyrurus tetrix</w:t>
            </w:r>
          </w:p>
        </w:tc>
        <w:tc>
          <w:tcPr>
            <w:tcW w:w="1560" w:type="dxa"/>
            <w:tcBorders>
              <w:top w:val="nil"/>
              <w:left w:val="nil"/>
              <w:bottom w:val="single" w:sz="4" w:space="0" w:color="auto"/>
              <w:right w:val="single" w:sz="4" w:space="0" w:color="auto"/>
            </w:tcBorders>
            <w:shd w:val="clear" w:color="auto" w:fill="auto"/>
            <w:noWrap/>
            <w:vAlign w:val="bottom"/>
            <w:hideMark/>
          </w:tcPr>
          <w:p w14:paraId="7206F599"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1008E4E6"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Ptáci</w:t>
            </w:r>
          </w:p>
        </w:tc>
        <w:tc>
          <w:tcPr>
            <w:tcW w:w="1542" w:type="dxa"/>
            <w:tcBorders>
              <w:top w:val="nil"/>
              <w:left w:val="nil"/>
              <w:bottom w:val="single" w:sz="4" w:space="0" w:color="auto"/>
              <w:right w:val="single" w:sz="4" w:space="0" w:color="auto"/>
            </w:tcBorders>
            <w:shd w:val="clear" w:color="auto" w:fill="auto"/>
            <w:noWrap/>
            <w:vAlign w:val="bottom"/>
            <w:hideMark/>
          </w:tcPr>
          <w:p w14:paraId="4041F7D6"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1988-01</w:t>
            </w:r>
          </w:p>
        </w:tc>
        <w:tc>
          <w:tcPr>
            <w:tcW w:w="1998" w:type="dxa"/>
            <w:tcBorders>
              <w:top w:val="nil"/>
              <w:left w:val="nil"/>
              <w:bottom w:val="single" w:sz="4" w:space="0" w:color="auto"/>
              <w:right w:val="single" w:sz="4" w:space="0" w:color="auto"/>
            </w:tcBorders>
            <w:shd w:val="clear" w:color="auto" w:fill="auto"/>
            <w:noWrap/>
            <w:vAlign w:val="bottom"/>
            <w:hideMark/>
          </w:tcPr>
          <w:p w14:paraId="3DCDB3FE"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48877E96"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F85989">
        <w:rPr>
          <w:rFonts w:asciiTheme="minorHAnsi" w:hAnsiTheme="minorHAnsi" w:cstheme="minorHAnsi"/>
          <w:sz w:val="20"/>
        </w:rPr>
        <w:t xml:space="preserve"> V případě krkavce velkého je uveden zdroj: </w:t>
      </w:r>
      <w:r w:rsidR="00F85989">
        <w:rPr>
          <w:rStyle w:val="c1"/>
        </w:rPr>
        <w:t>HUBENÝ P. (2018) Ptáci - náhodná pozorování.</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3FF0DAC"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6330B" w14:textId="77777777" w:rsidR="00DE33DF" w:rsidRDefault="00DE33DF" w:rsidP="00E71B2F">
      <w:r>
        <w:separator/>
      </w:r>
    </w:p>
  </w:endnote>
  <w:endnote w:type="continuationSeparator" w:id="0">
    <w:p w14:paraId="4C9B8CA5" w14:textId="77777777" w:rsidR="00DE33DF" w:rsidRDefault="00DE33DF"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A480E" w14:textId="77777777" w:rsidR="00DE33DF" w:rsidRDefault="00DE33DF" w:rsidP="00E71B2F">
      <w:r>
        <w:separator/>
      </w:r>
    </w:p>
  </w:footnote>
  <w:footnote w:type="continuationSeparator" w:id="0">
    <w:p w14:paraId="4920BF61" w14:textId="77777777" w:rsidR="00DE33DF" w:rsidRDefault="00DE33DF"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44868"/>
    <w:rsid w:val="0006712E"/>
    <w:rsid w:val="00077583"/>
    <w:rsid w:val="001A2C3E"/>
    <w:rsid w:val="00235DAE"/>
    <w:rsid w:val="002E3EC5"/>
    <w:rsid w:val="002F0178"/>
    <w:rsid w:val="003021DC"/>
    <w:rsid w:val="0031775F"/>
    <w:rsid w:val="0032522F"/>
    <w:rsid w:val="003C1EBA"/>
    <w:rsid w:val="003F0D4C"/>
    <w:rsid w:val="00412D79"/>
    <w:rsid w:val="00432A36"/>
    <w:rsid w:val="00490244"/>
    <w:rsid w:val="004F6E32"/>
    <w:rsid w:val="00503C99"/>
    <w:rsid w:val="005319E8"/>
    <w:rsid w:val="005F1FC9"/>
    <w:rsid w:val="006164D5"/>
    <w:rsid w:val="00621B19"/>
    <w:rsid w:val="0065541B"/>
    <w:rsid w:val="006B08DD"/>
    <w:rsid w:val="006E012E"/>
    <w:rsid w:val="00714693"/>
    <w:rsid w:val="00723DB6"/>
    <w:rsid w:val="00726028"/>
    <w:rsid w:val="0073424B"/>
    <w:rsid w:val="00851BD1"/>
    <w:rsid w:val="00852C58"/>
    <w:rsid w:val="00882221"/>
    <w:rsid w:val="0089539D"/>
    <w:rsid w:val="008C5F54"/>
    <w:rsid w:val="008D381C"/>
    <w:rsid w:val="008F0998"/>
    <w:rsid w:val="00937F94"/>
    <w:rsid w:val="009909E5"/>
    <w:rsid w:val="009D445B"/>
    <w:rsid w:val="00A30E9E"/>
    <w:rsid w:val="00A62A7F"/>
    <w:rsid w:val="00AF63FE"/>
    <w:rsid w:val="00B30256"/>
    <w:rsid w:val="00B50859"/>
    <w:rsid w:val="00B60AB5"/>
    <w:rsid w:val="00B625EC"/>
    <w:rsid w:val="00BB6FFD"/>
    <w:rsid w:val="00BE36A4"/>
    <w:rsid w:val="00C115DD"/>
    <w:rsid w:val="00C176C5"/>
    <w:rsid w:val="00C854CA"/>
    <w:rsid w:val="00CD02BF"/>
    <w:rsid w:val="00CF3A74"/>
    <w:rsid w:val="00D46277"/>
    <w:rsid w:val="00D57E9A"/>
    <w:rsid w:val="00D67EA1"/>
    <w:rsid w:val="00D87A04"/>
    <w:rsid w:val="00DA50E1"/>
    <w:rsid w:val="00DB504C"/>
    <w:rsid w:val="00DE33DF"/>
    <w:rsid w:val="00DF4317"/>
    <w:rsid w:val="00E15C2E"/>
    <w:rsid w:val="00E3691D"/>
    <w:rsid w:val="00E54322"/>
    <w:rsid w:val="00E71B2F"/>
    <w:rsid w:val="00E90611"/>
    <w:rsid w:val="00F77DB4"/>
    <w:rsid w:val="00F85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 w:type="character" w:customStyle="1" w:styleId="c1">
    <w:name w:val="c1"/>
    <w:basedOn w:val="Standardnpsmoodstavce"/>
    <w:rsid w:val="00F85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55412522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00838729">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3</Pages>
  <Words>877</Words>
  <Characters>5181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19</cp:revision>
  <dcterms:created xsi:type="dcterms:W3CDTF">2025-03-21T12:55:00Z</dcterms:created>
  <dcterms:modified xsi:type="dcterms:W3CDTF">2025-03-27T13:16:00Z</dcterms:modified>
</cp:coreProperties>
</file>